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637</w:t>
      </w:r>
    </w:p>
    <w:p>
      <w:r>
        <w:t>Bundesgericht (BGE), 2007-08-02, FR</w:t>
      </w:r>
    </w:p>
    <w:p>
      <w:r>
        <w:rPr>
          <w:b/>
        </w:rPr>
        <w:t xml:space="preserve">Quelle: </w:t>
      </w:r>
      <w:r>
        <w:t>https://mcp.opencaselaw.ch/entscheid/bge_137 III 637</w:t>
      </w:r>
    </w:p>
    <w:p>
      <w:r>
        <w:t>FR: ATF 137 III 637</w:t>
      </w:r>
    </w:p>
    <w:p>
      <w:r>
        <w:t>IT: DTF 137 III 637</w:t>
      </w:r>
    </w:p>
    <w:p>
      <w:pPr>
        <w:pStyle w:val="Heading2"/>
      </w:pPr>
      <w:r>
        <w:t>Regeste</w:t>
      </w:r>
    </w:p>
    <w:p>
      <w:r>
        <w:t>Regeste Art. 93 Abs. 1 BGG; Art. 451 ff. ZGB; Genehmigung der Schlussrechnung des Vormundes. Der Entscheid, mit welchem die Genehmigung der Schlussrechnung abgelehnt und deren Erstellung auf Kosten des Vormundes einem Dritten übertragen wird, stellt eine Zwischenverfügung dar, die im Grundsatz keinen nicht wieder gutzumachenden Nachteil bewirkt (E. 1.2).</w:t>
      </w:r>
    </w:p>
    <w:p>
      <w:pPr>
        <w:pStyle w:val="Heading2"/>
      </w:pPr>
      <w:r>
        <w:t>Erwägungen</w:t>
      </w:r>
    </w:p>
    <w:p>
      <w:r>
        <w:rPr>
          <w:b/>
        </w:rPr>
        <w:t>E. 1</w:t>
      </w:r>
    </w:p>
    <w:p>
      <w:r>
        <w:t>ss) le tuteur dont la mission a pris fin (cf. art. 445 al. 1 CC , pour la présente espèce). Le recourant affirme que l'arrêt attaqué est susceptible de lui causer un préjudice irréparable au sens de l' art. 93 al. 1 let. a LTF ; celui-ci "tient au fait que la fiduciaire tierce qui serait chargée de l'établissement des comptes de tutelle devrait être rémunérée et que la décision finale d'approbation des comptes ne pourrait pas exonérer le recourant de la prise en charge de cette rémunération". Pareille argumentation ne peut être suivie. La décision entreprise a pour effet BGE 137 III 637 S. 640 de mettre à la charge du recourant les frais d'établissement du compte final par un tiers nommé à cette fin (cf. sur cette possibilité: AFFOLTER, ibid., n° 47; GOOD, op. cit., § 8 n° 51); or, de jurisprudence constante, le fait d'être exposé au paiement d'une somme d'argent n'entraîne, en principe, aucun préjudice de cette nature (arrêt 5D_52/2010 du 10 mai 2010 consid. 1.1.1 et les citations, in SJ 2011 I p. 134). Conformément à l' art. 93 al. 3 LTF , il appartiendra au recourant de contester la mesure critiquée à l'appui d'un recours contre la décision (finale) approuvant le compte final ( art. 453 al. 1 CC ). Pour être complet, il faut ajouter que le recours ne serait pas non plus ouvert au regard de l' art. 93 al. 1 let. b LTF , dont le recourant n'établit, au demeurant, pas les conditions (cf. sur cette obligation: ATF 134 III 426 consid. 1.3.2). En effet, selon la jurisprudence, l'examen du compte final ne se limite pas à une vérification purement comptable des divers articles qui en font l'objet, "mais doit également porter sur la légitimité des mesures prises par le tuteur" ( ATF 76 II 181 p. 186). Or, la décision querellée ne comporte - et pour cause - aucune constatation sur cet aspect ( art. 105 al. 1 LTF ), de sorte que le Tribunal fédéral ne serait pas en état d'approuver lui-même le compte final.</w:t>
      </w:r>
    </w:p>
    <w:p>
      <w:r>
        <w:rPr>
          <w:b/>
        </w:rPr>
        <w:t>E. 1.2</w:t>
      </w:r>
    </w:p>
    <w:p>
      <w:r>
        <w:t>Contrairement à la décision qui approuve le compte final du tuteur (arrêt 5A_578/2008 du 1 er octobre 2008 consid. 1; implicitement: arrêt 5A_30/2008 précité consid. 1), celle qui refuse de l'approuver et confie à un tiers le soin de l'établir n'est pas finale au sens de l' art. 90 LTF , mais incidente au sens de l' art. 93 al. 1 LTF ; en effet, celle-ci constitue une étape vers la décision (finale) approuvant les rapport et compte final ( art. 451 CC ) et relevant de ses fonctions (art. 453 al. 1 in fine CC; sur la portée de cette décision: AFFOLTER, in Basler Kommentar, 4 e éd. 2010, n os 73 ss ad art. 451-453 CC ; GOOD, Das Ende des Amtes des Vormundes, 1992, § 7 n 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